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BE432" w14:textId="73CC9574" w:rsidR="0095324B" w:rsidRPr="0052514D" w:rsidRDefault="0095324B" w:rsidP="0095324B">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C832F6" w:rsidRPr="00C832F6">
        <w:rPr>
          <w:rFonts w:eastAsia="SimSun" w:cs="Arial"/>
          <w:sz w:val="24"/>
          <w:szCs w:val="24"/>
        </w:rPr>
        <w:t>R4-2418568</w:t>
      </w:r>
    </w:p>
    <w:p w14:paraId="77EE1393" w14:textId="77777777" w:rsidR="0095324B" w:rsidRPr="0052514D" w:rsidRDefault="0095324B" w:rsidP="0095324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D251E81"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832F6">
        <w:rPr>
          <w:rFonts w:ascii="Arial" w:hAnsi="Arial" w:cs="Arial"/>
          <w:b/>
          <w:sz w:val="22"/>
          <w:szCs w:val="22"/>
        </w:rPr>
        <w:t>7</w:t>
      </w:r>
      <w:r w:rsidR="00D0548B" w:rsidRPr="00D0548B">
        <w:rPr>
          <w:rFonts w:ascii="Arial" w:hAnsi="Arial" w:cs="Arial"/>
          <w:b/>
          <w:sz w:val="22"/>
          <w:szCs w:val="22"/>
        </w:rPr>
        <w:t>.26.4.1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(e)RedCap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3639EC8"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RAN4#112, and the open issues have been summarized in the t</w:t>
      </w:r>
      <w:r w:rsidRPr="00A34030">
        <w:t xml:space="preserve">opic summary for </w:t>
      </w:r>
      <w:r w:rsidRPr="00CD3CF7">
        <w:t>[112][226] NR_NTN_Ph3</w:t>
      </w:r>
      <w:r w:rsidRPr="00202466">
        <w:t xml:space="preserve">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(e)RedCap</w:t>
      </w:r>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upport of Rel-17 RedCap and Rel-18 eRedCap UEs with NR NTN</w:t>
      </w:r>
    </w:p>
    <w:p w14:paraId="055161CE" w14:textId="77777777" w:rsidR="00E13C55" w:rsidRDefault="00E13C55" w:rsidP="00E13C55">
      <w:pPr>
        <w:rPr>
          <w:b/>
          <w:bCs/>
          <w:u w:val="single"/>
          <w:lang w:eastAsia="ko-KR"/>
        </w:rPr>
      </w:pPr>
      <w:bookmarkStart w:id="3" w:name="OLE_LINK5"/>
      <w:bookmarkStart w:id="4" w:name="OLE_LINK6"/>
      <w:r w:rsidRPr="00E13C55">
        <w:rPr>
          <w:b/>
          <w:bCs/>
          <w:u w:val="single"/>
          <w:lang w:eastAsia="ko-KR"/>
        </w:rPr>
        <w:t>Issue 2-2-1: Further discussion on cell reselection requirement for (e)RedCap UE with FR1-NTN</w:t>
      </w:r>
    </w:p>
    <w:tbl>
      <w:tblPr>
        <w:tblStyle w:val="TableGrid"/>
        <w:tblW w:w="0" w:type="auto"/>
        <w:tblLook w:val="04A0" w:firstRow="1" w:lastRow="0" w:firstColumn="1" w:lastColumn="0" w:noHBand="0" w:noVBand="1"/>
      </w:tblPr>
      <w:tblGrid>
        <w:gridCol w:w="9962"/>
      </w:tblGrid>
      <w:tr w:rsidR="00E13C55" w14:paraId="7821B6E8" w14:textId="77777777" w:rsidTr="00E13C55">
        <w:tc>
          <w:tcPr>
            <w:tcW w:w="9962" w:type="dxa"/>
          </w:tcPr>
          <w:p w14:paraId="7B923895" w14:textId="77777777" w:rsidR="00E13C55" w:rsidRPr="009100BB" w:rsidRDefault="00E13C55" w:rsidP="00E13C55">
            <w:pPr>
              <w:snapToGrid w:val="0"/>
              <w:rPr>
                <w:rFonts w:eastAsia="DengXian"/>
                <w:iCs/>
                <w:sz w:val="21"/>
                <w:szCs w:val="21"/>
                <w:highlight w:val="green"/>
              </w:rPr>
            </w:pPr>
            <w:r>
              <w:rPr>
                <w:rFonts w:eastAsia="DengXian" w:hint="eastAsia"/>
                <w:iCs/>
                <w:sz w:val="21"/>
                <w:szCs w:val="21"/>
                <w:highlight w:val="green"/>
              </w:rPr>
              <w:t>&lt;</w:t>
            </w:r>
            <w:r w:rsidRPr="009100BB">
              <w:rPr>
                <w:rFonts w:eastAsia="DengXian"/>
                <w:iCs/>
                <w:sz w:val="21"/>
                <w:szCs w:val="21"/>
                <w:highlight w:val="green"/>
              </w:rPr>
              <w:t>Agreement</w:t>
            </w:r>
            <w:r>
              <w:rPr>
                <w:rFonts w:eastAsia="DengXian" w:hint="eastAsia"/>
                <w:iCs/>
                <w:sz w:val="21"/>
                <w:szCs w:val="21"/>
                <w:highlight w:val="green"/>
              </w:rPr>
              <w:t>&gt;</w:t>
            </w:r>
            <w:r w:rsidRPr="009100BB">
              <w:rPr>
                <w:rFonts w:eastAsia="DengXian"/>
                <w:iCs/>
                <w:sz w:val="21"/>
                <w:szCs w:val="21"/>
                <w:highlight w:val="green"/>
              </w:rPr>
              <w:t>:</w:t>
            </w:r>
          </w:p>
          <w:p w14:paraId="3391AFC7" w14:textId="77777777" w:rsidR="00E13C55" w:rsidRPr="00643C5E" w:rsidRDefault="00E13C55" w:rsidP="00E13C55">
            <w:pPr>
              <w:pStyle w:val="ListParagraph"/>
              <w:widowControl/>
              <w:numPr>
                <w:ilvl w:val="0"/>
                <w:numId w:val="22"/>
              </w:numPr>
              <w:overflowPunct/>
              <w:autoSpaceDE/>
              <w:autoSpaceDN/>
              <w:adjustRightInd/>
              <w:spacing w:before="0" w:beforeAutospacing="0" w:after="120" w:line="240" w:lineRule="auto"/>
              <w:ind w:left="720" w:firstLineChars="0"/>
              <w:textAlignment w:val="auto"/>
            </w:pPr>
            <w:r w:rsidRPr="00643C5E">
              <w:t xml:space="preserve">The existing cell reselection requirements in </w:t>
            </w:r>
            <w:r w:rsidRPr="005458F4">
              <w:t>RRC_IDLE/RRC_INACTIVE state</w:t>
            </w:r>
            <w:r w:rsidRPr="00643C5E">
              <w:t xml:space="preserve"> defined for Rel-17 and Rel-18 (e)NTN can be the baseline for </w:t>
            </w:r>
            <w:r w:rsidRPr="005458F4">
              <w:t>(e)RedCap 2Rx UE with FR1-NTN bands</w:t>
            </w:r>
            <w:r w:rsidRPr="00643C5E">
              <w:t>.</w:t>
            </w:r>
          </w:p>
          <w:p w14:paraId="771144AC" w14:textId="77777777" w:rsidR="00E13C55" w:rsidRPr="005458F4" w:rsidRDefault="00E13C55" w:rsidP="00E13C55">
            <w:pPr>
              <w:pStyle w:val="ListParagraph"/>
              <w:widowControl/>
              <w:numPr>
                <w:ilvl w:val="1"/>
                <w:numId w:val="22"/>
              </w:numPr>
              <w:overflowPunct/>
              <w:autoSpaceDE/>
              <w:autoSpaceDN/>
              <w:adjustRightInd/>
              <w:spacing w:before="0" w:beforeAutospacing="0" w:after="120" w:line="240" w:lineRule="auto"/>
              <w:ind w:firstLineChars="0"/>
              <w:textAlignment w:val="auto"/>
              <w:rPr>
                <w:bCs/>
              </w:rPr>
            </w:pPr>
            <w:r w:rsidRPr="005458F4">
              <w:rPr>
                <w:bCs/>
              </w:rPr>
              <w:t>Both time-based and location-based cell reselection measurement criteria will be defined.</w:t>
            </w:r>
          </w:p>
          <w:p w14:paraId="6C848373" w14:textId="77777777" w:rsidR="00E13C55" w:rsidRPr="005458F4" w:rsidRDefault="00E13C55" w:rsidP="00E13C55">
            <w:pPr>
              <w:pStyle w:val="ListParagraph"/>
              <w:widowControl/>
              <w:numPr>
                <w:ilvl w:val="2"/>
                <w:numId w:val="22"/>
              </w:numPr>
              <w:overflowPunct/>
              <w:autoSpaceDE/>
              <w:autoSpaceDN/>
              <w:adjustRightInd/>
              <w:spacing w:before="0" w:beforeAutospacing="0" w:after="120" w:line="240" w:lineRule="auto"/>
              <w:ind w:firstLineChars="0"/>
              <w:textAlignment w:val="auto"/>
              <w:rPr>
                <w:rFonts w:eastAsiaTheme="minorEastAsia"/>
                <w:iCs/>
              </w:rPr>
            </w:pPr>
            <w:r w:rsidRPr="005458F4">
              <w:rPr>
                <w:rFonts w:eastAsiaTheme="minorEastAsia"/>
                <w:iCs/>
              </w:rPr>
              <w:t>For both earth fixed and earth moving scenario</w:t>
            </w:r>
          </w:p>
          <w:p w14:paraId="32B3D47B" w14:textId="77777777" w:rsidR="00E13C55" w:rsidRPr="005458F4" w:rsidRDefault="00E13C55" w:rsidP="00E13C55">
            <w:pPr>
              <w:pStyle w:val="ListParagraph"/>
              <w:widowControl/>
              <w:numPr>
                <w:ilvl w:val="1"/>
                <w:numId w:val="22"/>
              </w:numPr>
              <w:overflowPunct/>
              <w:autoSpaceDE/>
              <w:autoSpaceDN/>
              <w:adjustRightInd/>
              <w:spacing w:before="0" w:beforeAutospacing="0" w:after="120" w:line="240" w:lineRule="auto"/>
              <w:ind w:firstLineChars="0"/>
              <w:textAlignment w:val="auto"/>
              <w:rPr>
                <w:bCs/>
              </w:rPr>
            </w:pPr>
            <w:r w:rsidRPr="005458F4">
              <w:rPr>
                <w:bCs/>
              </w:rPr>
              <w:t>Both NTN-NTN and NTN-TN (from NTN to TN and from TN to NTN) cell reselection requirements will be defined.</w:t>
            </w:r>
          </w:p>
          <w:p w14:paraId="395E77AB" w14:textId="5DB82613" w:rsidR="00E13C55" w:rsidRPr="00E13C55" w:rsidRDefault="00E13C55" w:rsidP="00E13C55">
            <w:pPr>
              <w:pStyle w:val="ListParagraph"/>
              <w:widowControl/>
              <w:numPr>
                <w:ilvl w:val="1"/>
                <w:numId w:val="22"/>
              </w:numPr>
              <w:overflowPunct/>
              <w:autoSpaceDE/>
              <w:autoSpaceDN/>
              <w:adjustRightInd/>
              <w:spacing w:before="0" w:beforeAutospacing="0" w:after="120" w:line="240" w:lineRule="auto"/>
              <w:ind w:firstLineChars="0"/>
              <w:textAlignment w:val="auto"/>
              <w:rPr>
                <w:bCs/>
              </w:rPr>
            </w:pPr>
            <w:r w:rsidRPr="005458F4">
              <w:rPr>
                <w:bCs/>
              </w:rPr>
              <w:t>FFS</w:t>
            </w:r>
            <w:r>
              <w:rPr>
                <w:rFonts w:hint="eastAsia"/>
                <w:bCs/>
                <w:lang w:eastAsia="zh-CN"/>
              </w:rPr>
              <w:t xml:space="preserve"> for t</w:t>
            </w:r>
            <w:r w:rsidRPr="005458F4">
              <w:rPr>
                <w:bCs/>
              </w:rPr>
              <w:t>he measurement requirements for inter-RAT (NTN to E-UTRA TN) measurement.</w:t>
            </w:r>
          </w:p>
        </w:tc>
      </w:tr>
    </w:tbl>
    <w:p w14:paraId="0769F856" w14:textId="27036CFB" w:rsidR="00E13C55" w:rsidRDefault="00E13C55" w:rsidP="00E13C55">
      <w:pPr>
        <w:jc w:val="both"/>
      </w:pPr>
      <w:r w:rsidRPr="00E13C55">
        <w:t>In Rel-17 NTN</w:t>
      </w:r>
      <w:r>
        <w:t>, RAN4 has cell reselection requirement for NTN to LTE TN (</w:t>
      </w:r>
      <w:r w:rsidRPr="00E13C55">
        <w:t>inter-RAT E-UTRAN cells</w:t>
      </w:r>
      <w:r w:rsidRPr="00E13C55">
        <w:rPr>
          <w:rFonts w:hint="eastAsia"/>
        </w:rPr>
        <w:t xml:space="preserve"> with TN carrier</w:t>
      </w:r>
      <w:r>
        <w:t>). That means: from the network deployment perspective, it’s a feasible scenario to consider. For RedCap requirement in R17, RAN4 also has requirement for m</w:t>
      </w:r>
      <w:r w:rsidRPr="00E13C55">
        <w:t>easurements of inter-RAT E-UTRAN cells for RedCap UE</w:t>
      </w:r>
      <w:r>
        <w:t>. Thus, we think it’s necessary to</w:t>
      </w:r>
      <w:r w:rsidR="009B4FE8">
        <w:t xml:space="preserve"> have </w:t>
      </w:r>
      <w:r w:rsidR="009B4FE8">
        <w:rPr>
          <w:rFonts w:hint="eastAsia"/>
          <w:bCs/>
        </w:rPr>
        <w:t>t</w:t>
      </w:r>
      <w:r w:rsidR="009B4FE8" w:rsidRPr="005458F4">
        <w:rPr>
          <w:bCs/>
        </w:rPr>
        <w:t>he measurement requirements for inter-RAT (NTN to E-UTRA TN) measurement</w:t>
      </w:r>
      <w:r w:rsidR="009B4FE8">
        <w:rPr>
          <w:bCs/>
        </w:rPr>
        <w:t xml:space="preserve"> for (e)RedCap UE, and </w:t>
      </w:r>
      <w:r w:rsidR="009B4FE8">
        <w:t>t</w:t>
      </w:r>
      <w:r w:rsidR="009B4FE8" w:rsidRPr="00643C5E">
        <w:t xml:space="preserve">he existing cell reselection requirements in </w:t>
      </w:r>
      <w:r w:rsidR="009B4FE8" w:rsidRPr="005458F4">
        <w:t>RRC_IDLE/RRC_INACTIVE state</w:t>
      </w:r>
      <w:r w:rsidR="009B4FE8" w:rsidRPr="00643C5E">
        <w:t xml:space="preserve"> defined for Rel-17 and Rel-18 (e)NTN can be the baseline for </w:t>
      </w:r>
      <w:r w:rsidR="009B4FE8" w:rsidRPr="005458F4">
        <w:t>(e)RedCap 2Rx UE with FR1-NTN bands</w:t>
      </w:r>
      <w:r w:rsidR="009B4FE8">
        <w:t>.</w:t>
      </w:r>
    </w:p>
    <w:p w14:paraId="1EA054C7" w14:textId="6D981D26" w:rsidR="009B4FE8" w:rsidRDefault="009B4FE8" w:rsidP="009B4FE8">
      <w:pPr>
        <w:jc w:val="both"/>
        <w:rPr>
          <w:b/>
          <w:bCs/>
          <w:i/>
          <w:iCs/>
        </w:rPr>
      </w:pPr>
      <w:r w:rsidRPr="004613F9">
        <w:rPr>
          <w:b/>
          <w:bCs/>
          <w:i/>
          <w:iCs/>
          <w:lang w:val="en-GB"/>
        </w:rPr>
        <w:t xml:space="preserve">Proposal </w:t>
      </w:r>
      <w:r>
        <w:rPr>
          <w:b/>
          <w:bCs/>
          <w:i/>
          <w:iCs/>
          <w:lang w:val="en-GB"/>
        </w:rPr>
        <w:t>1</w:t>
      </w:r>
      <w:r w:rsidRPr="004613F9">
        <w:rPr>
          <w:b/>
          <w:bCs/>
          <w:i/>
          <w:iCs/>
          <w:lang w:val="en-GB"/>
        </w:rPr>
        <w:t xml:space="preserve">: </w:t>
      </w:r>
      <w:r>
        <w:rPr>
          <w:b/>
          <w:bCs/>
          <w:i/>
          <w:iCs/>
          <w:lang w:val="en-GB"/>
        </w:rPr>
        <w:t xml:space="preserve">RAN4 to define </w:t>
      </w:r>
      <w:r w:rsidRPr="009B4FE8">
        <w:rPr>
          <w:b/>
          <w:bCs/>
          <w:i/>
          <w:iCs/>
          <w:lang w:val="en-GB"/>
        </w:rPr>
        <w:t>measurement requirements for inter-RAT (NTN to E-UTRA</w:t>
      </w:r>
      <w:r>
        <w:rPr>
          <w:b/>
          <w:bCs/>
          <w:i/>
          <w:iCs/>
          <w:lang w:val="en-GB"/>
        </w:rPr>
        <w:t>N</w:t>
      </w:r>
      <w:r w:rsidRPr="009B4FE8">
        <w:rPr>
          <w:b/>
          <w:bCs/>
          <w:i/>
          <w:iCs/>
          <w:lang w:val="en-GB"/>
        </w:rPr>
        <w:t xml:space="preserve"> TN) measurement for (e)RedCap UE</w:t>
      </w:r>
      <w:r>
        <w:rPr>
          <w:b/>
          <w:bCs/>
          <w:i/>
          <w:iCs/>
          <w:lang w:val="en-GB"/>
        </w:rPr>
        <w:t xml:space="preserve">. The existing </w:t>
      </w:r>
      <w:r w:rsidRPr="009B4FE8">
        <w:rPr>
          <w:b/>
          <w:bCs/>
          <w:i/>
          <w:iCs/>
          <w:lang w:val="en-GB"/>
        </w:rPr>
        <w:t xml:space="preserve">requirements for </w:t>
      </w:r>
      <w:r>
        <w:rPr>
          <w:b/>
          <w:bCs/>
          <w:i/>
          <w:iCs/>
        </w:rPr>
        <w:t>m</w:t>
      </w:r>
      <w:r w:rsidRPr="009B4FE8">
        <w:rPr>
          <w:b/>
          <w:bCs/>
          <w:i/>
          <w:iCs/>
        </w:rPr>
        <w:t>easurements of inter-RAT E-UTRAN cells</w:t>
      </w:r>
      <w:r w:rsidRPr="009B4FE8">
        <w:rPr>
          <w:rFonts w:hint="eastAsia"/>
          <w:b/>
          <w:bCs/>
          <w:i/>
          <w:iCs/>
        </w:rPr>
        <w:t xml:space="preserve"> with TN carrier</w:t>
      </w:r>
      <w:r>
        <w:rPr>
          <w:b/>
          <w:bCs/>
          <w:i/>
          <w:iCs/>
        </w:rPr>
        <w:t xml:space="preserve"> can be used as baseline.</w:t>
      </w:r>
    </w:p>
    <w:p w14:paraId="5DAD9634" w14:textId="77777777" w:rsidR="00F5672F" w:rsidRDefault="00F5672F" w:rsidP="009B4FE8">
      <w:pPr>
        <w:jc w:val="both"/>
        <w:rPr>
          <w:b/>
          <w:bCs/>
          <w:i/>
          <w:iCs/>
        </w:rPr>
      </w:pPr>
    </w:p>
    <w:p w14:paraId="2F3594BA" w14:textId="0A4AAF6C" w:rsidR="00825928" w:rsidRDefault="00F5672F" w:rsidP="008E15EC">
      <w:pPr>
        <w:rPr>
          <w:b/>
          <w:bCs/>
          <w:u w:val="single"/>
          <w:lang w:eastAsia="ko-KR"/>
        </w:rPr>
      </w:pPr>
      <w:r w:rsidRPr="00F5672F">
        <w:rPr>
          <w:b/>
          <w:bCs/>
          <w:u w:val="single"/>
          <w:lang w:eastAsia="ko-KR"/>
        </w:rPr>
        <w:t>Issue 2-3-2: eDRX configuration</w:t>
      </w:r>
    </w:p>
    <w:tbl>
      <w:tblPr>
        <w:tblStyle w:val="TableGrid"/>
        <w:tblW w:w="0" w:type="auto"/>
        <w:tblLook w:val="04A0" w:firstRow="1" w:lastRow="0" w:firstColumn="1" w:lastColumn="0" w:noHBand="0" w:noVBand="1"/>
      </w:tblPr>
      <w:tblGrid>
        <w:gridCol w:w="9962"/>
      </w:tblGrid>
      <w:tr w:rsidR="00DD5C9C" w14:paraId="0823610E" w14:textId="77777777" w:rsidTr="00DD5C9C">
        <w:tc>
          <w:tcPr>
            <w:tcW w:w="9962" w:type="dxa"/>
          </w:tcPr>
          <w:p w14:paraId="745F5B47" w14:textId="77777777" w:rsidR="00F5672F" w:rsidRPr="009100BB" w:rsidRDefault="00F5672F" w:rsidP="00F5672F">
            <w:pPr>
              <w:snapToGrid w:val="0"/>
              <w:spacing w:before="0" w:beforeAutospacing="0" w:after="0"/>
              <w:rPr>
                <w:rFonts w:eastAsia="DengXian"/>
                <w:iCs/>
                <w:sz w:val="21"/>
                <w:szCs w:val="21"/>
                <w:highlight w:val="green"/>
              </w:rPr>
            </w:pPr>
            <w:r>
              <w:rPr>
                <w:rFonts w:eastAsia="DengXian" w:hint="eastAsia"/>
                <w:iCs/>
                <w:sz w:val="21"/>
                <w:szCs w:val="21"/>
                <w:highlight w:val="green"/>
              </w:rPr>
              <w:t>&lt;</w:t>
            </w:r>
            <w:r w:rsidRPr="009100BB">
              <w:rPr>
                <w:rFonts w:eastAsia="DengXian"/>
                <w:iCs/>
                <w:sz w:val="21"/>
                <w:szCs w:val="21"/>
                <w:highlight w:val="green"/>
              </w:rPr>
              <w:t>Agreement</w:t>
            </w:r>
            <w:r>
              <w:rPr>
                <w:rFonts w:eastAsia="DengXian" w:hint="eastAsia"/>
                <w:iCs/>
                <w:sz w:val="21"/>
                <w:szCs w:val="21"/>
                <w:highlight w:val="green"/>
              </w:rPr>
              <w:t>&gt;</w:t>
            </w:r>
            <w:r w:rsidRPr="009100BB">
              <w:rPr>
                <w:rFonts w:eastAsia="DengXian"/>
                <w:iCs/>
                <w:sz w:val="21"/>
                <w:szCs w:val="21"/>
                <w:highlight w:val="green"/>
              </w:rPr>
              <w:t>:</w:t>
            </w:r>
          </w:p>
          <w:p w14:paraId="093DA92F" w14:textId="77777777" w:rsidR="00F5672F" w:rsidRPr="00643C5E" w:rsidRDefault="00F5672F" w:rsidP="00F5672F">
            <w:pPr>
              <w:pStyle w:val="ListParagraph"/>
              <w:widowControl/>
              <w:numPr>
                <w:ilvl w:val="0"/>
                <w:numId w:val="22"/>
              </w:numPr>
              <w:overflowPunct/>
              <w:autoSpaceDE/>
              <w:autoSpaceDN/>
              <w:adjustRightInd/>
              <w:snapToGrid w:val="0"/>
              <w:spacing w:before="0" w:beforeAutospacing="0" w:after="0" w:line="240" w:lineRule="auto"/>
              <w:ind w:left="720" w:firstLineChars="0"/>
              <w:textAlignment w:val="auto"/>
            </w:pPr>
            <w:r w:rsidRPr="00643C5E">
              <w:rPr>
                <w:rFonts w:hint="eastAsia"/>
              </w:rPr>
              <w:t>For</w:t>
            </w:r>
            <w:r w:rsidRPr="00643C5E">
              <w:t xml:space="preserve"> GSO:</w:t>
            </w:r>
          </w:p>
          <w:p w14:paraId="1D902341" w14:textId="77777777" w:rsidR="00F5672F" w:rsidRPr="00E26067" w:rsidRDefault="00F5672F" w:rsidP="00F5672F">
            <w:pPr>
              <w:pStyle w:val="ListParagraph"/>
              <w:widowControl/>
              <w:numPr>
                <w:ilvl w:val="1"/>
                <w:numId w:val="22"/>
              </w:numPr>
              <w:overflowPunct/>
              <w:autoSpaceDE/>
              <w:autoSpaceDN/>
              <w:adjustRightInd/>
              <w:snapToGrid w:val="0"/>
              <w:spacing w:before="0" w:beforeAutospacing="0" w:after="0" w:line="240" w:lineRule="auto"/>
              <w:ind w:firstLineChars="0"/>
              <w:textAlignment w:val="auto"/>
            </w:pPr>
            <w:r w:rsidRPr="00E26067">
              <w:t>Define</w:t>
            </w:r>
            <w:r w:rsidRPr="00E26067">
              <w:rPr>
                <w:rFonts w:hint="eastAsia"/>
              </w:rPr>
              <w:t xml:space="preserve"> </w:t>
            </w:r>
            <w:r w:rsidRPr="00E26067">
              <w:t>eDRX related requirements</w:t>
            </w:r>
            <w:r w:rsidRPr="00E26067">
              <w:rPr>
                <w:rFonts w:hint="eastAsia"/>
              </w:rPr>
              <w:t xml:space="preserve"> </w:t>
            </w:r>
            <w:r w:rsidRPr="00E26067">
              <w:t xml:space="preserve">in </w:t>
            </w:r>
            <w:proofErr w:type="spellStart"/>
            <w:r w:rsidRPr="00E26067">
              <w:t>RRC_Idle</w:t>
            </w:r>
            <w:proofErr w:type="spellEnd"/>
            <w:r w:rsidRPr="00E26067" w:rsidDel="002D619E">
              <w:rPr>
                <w:rFonts w:hint="eastAsia"/>
              </w:rPr>
              <w:t xml:space="preserve"> </w:t>
            </w:r>
            <w:r w:rsidRPr="00E26067">
              <w:rPr>
                <w:rFonts w:hint="eastAsia"/>
              </w:rPr>
              <w:t xml:space="preserve">/ </w:t>
            </w:r>
            <w:proofErr w:type="spellStart"/>
            <w:r w:rsidRPr="00E26067">
              <w:t>RRC_Inactive</w:t>
            </w:r>
            <w:proofErr w:type="spellEnd"/>
            <w:r w:rsidRPr="00E26067">
              <w:t xml:space="preserve"> mode </w:t>
            </w:r>
            <w:r w:rsidRPr="00E26067">
              <w:rPr>
                <w:rFonts w:hint="eastAsia"/>
              </w:rPr>
              <w:t xml:space="preserve">for </w:t>
            </w:r>
            <w:r w:rsidRPr="00E26067">
              <w:t>(e)RedCap UE with FR1-NTN.</w:t>
            </w:r>
          </w:p>
          <w:p w14:paraId="3DA52A6A" w14:textId="77777777" w:rsidR="00F5672F" w:rsidRPr="00E26067" w:rsidRDefault="00F5672F" w:rsidP="00F5672F">
            <w:pPr>
              <w:pStyle w:val="ListParagraph"/>
              <w:widowControl/>
              <w:numPr>
                <w:ilvl w:val="2"/>
                <w:numId w:val="22"/>
              </w:numPr>
              <w:overflowPunct/>
              <w:autoSpaceDE/>
              <w:autoSpaceDN/>
              <w:adjustRightInd/>
              <w:snapToGrid w:val="0"/>
              <w:spacing w:before="0" w:beforeAutospacing="0" w:after="0" w:line="240" w:lineRule="auto"/>
              <w:ind w:firstLineChars="0" w:hanging="357"/>
              <w:textAlignment w:val="auto"/>
              <w:rPr>
                <w:lang w:val="en-GB"/>
              </w:rPr>
            </w:pPr>
            <w:r w:rsidRPr="00E26067">
              <w:rPr>
                <w:lang w:val="en-GB"/>
              </w:rPr>
              <w:t xml:space="preserve">For </w:t>
            </w:r>
            <w:r w:rsidRPr="00E26067">
              <w:rPr>
                <w:rFonts w:hint="eastAsia"/>
                <w:lang w:val="en-GB"/>
              </w:rPr>
              <w:t>GSO,</w:t>
            </w:r>
            <w:r w:rsidRPr="00E26067">
              <w:rPr>
                <w:lang w:val="en-GB"/>
              </w:rPr>
              <w:t xml:space="preserve"> All DRX and </w:t>
            </w:r>
            <w:proofErr w:type="spellStart"/>
            <w:r w:rsidRPr="00E26067">
              <w:rPr>
                <w:lang w:val="en-GB"/>
              </w:rPr>
              <w:t>eDRX</w:t>
            </w:r>
            <w:proofErr w:type="spellEnd"/>
            <w:r w:rsidRPr="00E26067">
              <w:rPr>
                <w:lang w:val="en-GB"/>
              </w:rPr>
              <w:t xml:space="preserve"> cycle can be supported, and the DRX and </w:t>
            </w:r>
            <w:proofErr w:type="spellStart"/>
            <w:r w:rsidRPr="00E26067">
              <w:rPr>
                <w:lang w:val="en-GB"/>
              </w:rPr>
              <w:t>eDRX</w:t>
            </w:r>
            <w:proofErr w:type="spellEnd"/>
            <w:r w:rsidRPr="00E26067">
              <w:rPr>
                <w:lang w:val="en-GB"/>
              </w:rPr>
              <w:t xml:space="preserve"> related requirements for RedCap UE in TN are re-used. </w:t>
            </w:r>
          </w:p>
          <w:p w14:paraId="68866D7E" w14:textId="558DCB7A" w:rsidR="00DD5C9C" w:rsidRPr="00F5672F" w:rsidRDefault="00F5672F" w:rsidP="00F5672F">
            <w:pPr>
              <w:pStyle w:val="ListParagraph"/>
              <w:widowControl/>
              <w:numPr>
                <w:ilvl w:val="0"/>
                <w:numId w:val="22"/>
              </w:numPr>
              <w:overflowPunct/>
              <w:autoSpaceDE/>
              <w:autoSpaceDN/>
              <w:adjustRightInd/>
              <w:snapToGrid w:val="0"/>
              <w:spacing w:before="0" w:beforeAutospacing="0" w:after="0" w:line="240" w:lineRule="auto"/>
              <w:ind w:left="720" w:firstLineChars="0"/>
              <w:textAlignment w:val="auto"/>
            </w:pPr>
            <w:r w:rsidRPr="00DE0E3A">
              <w:rPr>
                <w:rFonts w:hint="eastAsia"/>
              </w:rPr>
              <w:t>F</w:t>
            </w:r>
            <w:r w:rsidRPr="00DE0E3A">
              <w:t>urther discuss for LEO</w:t>
            </w:r>
            <w:r>
              <w:rPr>
                <w:rFonts w:hint="eastAsia"/>
                <w:lang w:eastAsia="zh-CN"/>
              </w:rPr>
              <w:t>.</w:t>
            </w:r>
          </w:p>
        </w:tc>
      </w:tr>
      <w:bookmarkEnd w:id="3"/>
      <w:bookmarkEnd w:id="4"/>
    </w:tbl>
    <w:p w14:paraId="51623192" w14:textId="77777777" w:rsidR="00DD5C9C" w:rsidRDefault="00DD5C9C" w:rsidP="000A52A0">
      <w:pPr>
        <w:jc w:val="both"/>
        <w:rPr>
          <w:lang w:val="en-GB"/>
        </w:rPr>
      </w:pPr>
    </w:p>
    <w:p w14:paraId="6B3835E5" w14:textId="5A4CDA5E" w:rsidR="003A268B" w:rsidRDefault="00430F35" w:rsidP="000A52A0">
      <w:pPr>
        <w:jc w:val="both"/>
        <w:rPr>
          <w:lang w:val="en-GB"/>
        </w:rPr>
      </w:pPr>
      <w:r>
        <w:rPr>
          <w:lang w:val="en-GB"/>
        </w:rPr>
        <w:t xml:space="preserve">RAN4 needs more discussion on whether new requirement shall be introduced for RRM relaxation and eDRX. For example, </w:t>
      </w:r>
      <w:r w:rsidR="000A52A0">
        <w:rPr>
          <w:lang w:val="en-GB"/>
        </w:rPr>
        <w:t>i</w:t>
      </w:r>
      <w:r w:rsidR="000A52A0" w:rsidRPr="000A52A0">
        <w:rPr>
          <w:lang w:val="en-GB"/>
        </w:rPr>
        <w:t>n legacy NTN requirement, the 2.56</w:t>
      </w:r>
      <w:r w:rsidR="000A52A0">
        <w:rPr>
          <w:lang w:val="en-GB"/>
        </w:rPr>
        <w:t>s</w:t>
      </w:r>
      <w:r w:rsidR="000A52A0" w:rsidRPr="000A52A0">
        <w:rPr>
          <w:lang w:val="en-GB"/>
        </w:rPr>
        <w:t xml:space="preserve"> DRX is not assumed to be well utilized in the scenario where earth-moving LEO is deployed as the target satellite or serving satellite for measurement</w:t>
      </w:r>
      <w:r w:rsidR="000A52A0">
        <w:rPr>
          <w:lang w:val="en-GB"/>
        </w:rPr>
        <w:t xml:space="preserve">. </w:t>
      </w:r>
      <w:r w:rsidR="000A52A0" w:rsidRPr="000A52A0">
        <w:rPr>
          <w:lang w:val="en-GB"/>
        </w:rPr>
        <w:t>The main reason is</w:t>
      </w:r>
      <w:r w:rsidR="000A52A0">
        <w:rPr>
          <w:lang w:val="en-GB"/>
        </w:rPr>
        <w:t>:</w:t>
      </w:r>
      <w:r w:rsidR="000A52A0" w:rsidRPr="000A52A0">
        <w:rPr>
          <w:lang w:val="en-GB"/>
        </w:rPr>
        <w:t xml:space="preserve"> if earth-moving LEO is used and the footprint on earth is not that large, e.g., couple </w:t>
      </w:r>
      <w:proofErr w:type="spellStart"/>
      <w:r w:rsidR="000A52A0" w:rsidRPr="000A52A0">
        <w:rPr>
          <w:lang w:val="en-GB"/>
        </w:rPr>
        <w:t>kilometers</w:t>
      </w:r>
      <w:proofErr w:type="spellEnd"/>
      <w:r w:rsidR="000A52A0" w:rsidRPr="000A52A0">
        <w:rPr>
          <w:lang w:val="en-GB"/>
        </w:rPr>
        <w:t xml:space="preserve">, then the longer measurement </w:t>
      </w:r>
      <w:proofErr w:type="gramStart"/>
      <w:r w:rsidR="000A52A0" w:rsidRPr="000A52A0">
        <w:rPr>
          <w:lang w:val="en-GB"/>
        </w:rPr>
        <w:t>delay</w:t>
      </w:r>
      <w:proofErr w:type="gramEnd"/>
      <w:r w:rsidR="000A52A0" w:rsidRPr="000A52A0">
        <w:rPr>
          <w:lang w:val="en-GB"/>
        </w:rPr>
        <w:t xml:space="preserve"> due to using 2.56s will fail the mobility</w:t>
      </w:r>
      <w:r w:rsidR="000A52A0">
        <w:rPr>
          <w:lang w:val="en-GB"/>
        </w:rPr>
        <w:t>. I</w:t>
      </w:r>
      <w:r w:rsidR="000A52A0" w:rsidRPr="000A52A0">
        <w:rPr>
          <w:lang w:val="en-GB"/>
        </w:rPr>
        <w:t xml:space="preserve">f eDRX&gt;10.24sec is considered/configured </w:t>
      </w:r>
      <w:r w:rsidR="000A52A0">
        <w:rPr>
          <w:lang w:val="en-GB"/>
        </w:rPr>
        <w:t>(</w:t>
      </w:r>
      <w:r w:rsidR="000A52A0" w:rsidRPr="000A52A0">
        <w:rPr>
          <w:lang w:val="en-GB"/>
        </w:rPr>
        <w:t>PTW window is used</w:t>
      </w:r>
      <w:r w:rsidR="000A52A0">
        <w:rPr>
          <w:lang w:val="en-GB"/>
        </w:rPr>
        <w:t>) and</w:t>
      </w:r>
      <w:r w:rsidR="000A52A0" w:rsidRPr="000A52A0">
        <w:t xml:space="preserve"> earth-moving LEO is serving cell or is configured as target satellite for UE’s measurement</w:t>
      </w:r>
      <w:r w:rsidR="000A52A0">
        <w:t>, we think i</w:t>
      </w:r>
      <w:r w:rsidR="000A52A0" w:rsidRPr="000A52A0">
        <w:t>f DRX in PTW window is not greater than1.28s, UE shall complete the target NTN satellite measurement/evaluation within single PTW window, i.e., no cross PTW window measurement/evaluation</w:t>
      </w:r>
      <w:r w:rsidR="000A52A0">
        <w:t xml:space="preserve">; however, if </w:t>
      </w:r>
      <w:r w:rsidR="000A52A0" w:rsidRPr="000A52A0">
        <w:t>DRX in PTW window is greater than 1.28s</w:t>
      </w:r>
      <w:r w:rsidR="000A52A0">
        <w:t>, we still think UE shall be allowed to</w:t>
      </w:r>
      <w:r w:rsidR="000A52A0" w:rsidRPr="000A52A0">
        <w:t xml:space="preserve"> skip or drop the measurement/detection/evaluation</w:t>
      </w:r>
      <w:r w:rsidR="000A52A0">
        <w:t xml:space="preserve">, i.e., UE is not required to meet the requirement for 2.56s DRX cycle length for earth moving LEO deployment when eDRX with PTW window is configured. </w:t>
      </w:r>
    </w:p>
    <w:p w14:paraId="3B5CF33F" w14:textId="4EDE83E7" w:rsidR="000A52A0" w:rsidRDefault="000A52A0" w:rsidP="000A52A0">
      <w:pPr>
        <w:jc w:val="both"/>
        <w:rPr>
          <w:lang w:val="en-GB"/>
        </w:rPr>
      </w:pPr>
      <w:r w:rsidRPr="000A52A0">
        <w:rPr>
          <w:noProof/>
          <w:lang w:val="en-GB"/>
        </w:rPr>
        <w:drawing>
          <wp:inline distT="0" distB="0" distL="0" distR="0" wp14:anchorId="49772276" wp14:editId="7A55DE89">
            <wp:extent cx="6332220" cy="3037840"/>
            <wp:effectExtent l="0" t="0" r="5080" b="0"/>
            <wp:docPr id="2041966687"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66687" name="Picture 1" descr="A screenshot of a document&#10;&#10;Description automatically generated"/>
                    <pic:cNvPicPr/>
                  </pic:nvPicPr>
                  <pic:blipFill>
                    <a:blip r:embed="rId8"/>
                    <a:stretch>
                      <a:fillRect/>
                    </a:stretch>
                  </pic:blipFill>
                  <pic:spPr>
                    <a:xfrm>
                      <a:off x="0" y="0"/>
                      <a:ext cx="6332220" cy="3037840"/>
                    </a:xfrm>
                    <a:prstGeom prst="rect">
                      <a:avLst/>
                    </a:prstGeom>
                  </pic:spPr>
                </pic:pic>
              </a:graphicData>
            </a:graphic>
          </wp:inline>
        </w:drawing>
      </w:r>
    </w:p>
    <w:p w14:paraId="51FE31D8" w14:textId="4931E5EA" w:rsidR="003B46B4" w:rsidRDefault="003B46B4" w:rsidP="003B46B4">
      <w:pPr>
        <w:jc w:val="both"/>
      </w:pPr>
      <w:r>
        <w:rPr>
          <w:lang w:val="en-GB"/>
        </w:rPr>
        <w:t xml:space="preserve">However, if the </w:t>
      </w:r>
      <w:proofErr w:type="spellStart"/>
      <w:r>
        <w:rPr>
          <w:lang w:val="en-GB"/>
        </w:rPr>
        <w:t>eDRX</w:t>
      </w:r>
      <w:proofErr w:type="spellEnd"/>
      <w:r>
        <w:rPr>
          <w:lang w:val="en-GB"/>
        </w:rPr>
        <w:t xml:space="preserve"> is without PTW(</w:t>
      </w:r>
      <w:proofErr w:type="spellStart"/>
      <w:r>
        <w:rPr>
          <w:lang w:val="en-GB"/>
        </w:rPr>
        <w:t>eDRX</w:t>
      </w:r>
      <w:proofErr w:type="spellEnd"/>
      <w:r>
        <w:rPr>
          <w:lang w:val="en-GB"/>
        </w:rPr>
        <w:t xml:space="preserve"> &lt;=10.24s) and UE follows the </w:t>
      </w:r>
      <w:proofErr w:type="spellStart"/>
      <w:r>
        <w:rPr>
          <w:lang w:val="en-GB"/>
        </w:rPr>
        <w:t>eDRX</w:t>
      </w:r>
      <w:proofErr w:type="spellEnd"/>
      <w:r>
        <w:rPr>
          <w:lang w:val="en-GB"/>
        </w:rPr>
        <w:t xml:space="preserve"> cycle to perform the measurement, the minimum </w:t>
      </w:r>
      <w:proofErr w:type="spellStart"/>
      <w:r>
        <w:rPr>
          <w:lang w:val="en-GB"/>
        </w:rPr>
        <w:t>eDRX</w:t>
      </w:r>
      <w:proofErr w:type="spellEnd"/>
      <w:r>
        <w:rPr>
          <w:lang w:val="en-GB"/>
        </w:rPr>
        <w:t xml:space="preserve"> cycle is 2.56s and </w:t>
      </w:r>
      <w:proofErr w:type="spellStart"/>
      <w:r>
        <w:rPr>
          <w:lang w:val="en-GB"/>
        </w:rPr>
        <w:t>it’s</w:t>
      </w:r>
      <w:proofErr w:type="spellEnd"/>
      <w:r>
        <w:rPr>
          <w:lang w:val="en-GB"/>
        </w:rPr>
        <w:t xml:space="preserve"> equivalent to the note 2 in the legacy NTN requirement. Thus, we think </w:t>
      </w:r>
      <w:r>
        <w:t xml:space="preserve">UE is not required to meet the requirement with eDRX without PTW for </w:t>
      </w:r>
      <w:r>
        <w:lastRenderedPageBreak/>
        <w:t>earth moving LEO deployment.</w:t>
      </w:r>
      <w:r w:rsidR="00192FD9">
        <w:rPr>
          <w:rFonts w:hint="eastAsia"/>
        </w:rPr>
        <w:t xml:space="preserve"> </w:t>
      </w:r>
      <w:proofErr w:type="gramStart"/>
      <w:r>
        <w:t>In order to</w:t>
      </w:r>
      <w:proofErr w:type="gramEnd"/>
      <w:r>
        <w:t xml:space="preserve"> simplify the requirement, we propose that UE is not required to meet the RRM requirement with eDRX for earth moving LEO deployment.</w:t>
      </w:r>
    </w:p>
    <w:p w14:paraId="703794C4" w14:textId="07D15C1D" w:rsidR="00DD5C9C" w:rsidRPr="005B3697" w:rsidRDefault="00DD5C9C" w:rsidP="00DD5C9C">
      <w:pPr>
        <w:jc w:val="both"/>
        <w:rPr>
          <w:b/>
          <w:bCs/>
          <w:i/>
          <w:iCs/>
        </w:rPr>
      </w:pPr>
      <w:r>
        <w:rPr>
          <w:b/>
          <w:bCs/>
          <w:i/>
          <w:iCs/>
          <w:lang w:val="en-GB"/>
        </w:rPr>
        <w:t xml:space="preserve">Proposal </w:t>
      </w:r>
      <w:r w:rsidR="00F5672F">
        <w:rPr>
          <w:b/>
          <w:bCs/>
          <w:i/>
          <w:iCs/>
          <w:lang w:val="en-GB"/>
        </w:rPr>
        <w:t>2</w:t>
      </w:r>
      <w:r>
        <w:rPr>
          <w:b/>
          <w:bCs/>
          <w:i/>
          <w:iCs/>
          <w:lang w:val="en-GB"/>
        </w:rPr>
        <w:t xml:space="preserve">: </w:t>
      </w:r>
      <w:r w:rsidRPr="00DD5C9C">
        <w:rPr>
          <w:b/>
          <w:bCs/>
          <w:i/>
          <w:iCs/>
          <w:lang w:val="en-GB"/>
        </w:rPr>
        <w:t xml:space="preserve">UE is not required to meet the RRM requirement with </w:t>
      </w:r>
      <w:proofErr w:type="spellStart"/>
      <w:r w:rsidRPr="00DD5C9C">
        <w:rPr>
          <w:b/>
          <w:bCs/>
          <w:i/>
          <w:iCs/>
          <w:lang w:val="en-GB"/>
        </w:rPr>
        <w:t>eDRX</w:t>
      </w:r>
      <w:proofErr w:type="spellEnd"/>
      <w:r w:rsidRPr="00DD5C9C">
        <w:rPr>
          <w:b/>
          <w:bCs/>
          <w:i/>
          <w:iCs/>
          <w:lang w:val="en-GB"/>
        </w:rPr>
        <w:t xml:space="preserve"> for earth moving LEO deployment.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78055C0C" w14:textId="77777777" w:rsidR="00192FD9" w:rsidRDefault="00192FD9" w:rsidP="00192FD9">
      <w:pPr>
        <w:jc w:val="both"/>
        <w:rPr>
          <w:b/>
          <w:bCs/>
          <w:i/>
          <w:iCs/>
        </w:rPr>
      </w:pPr>
      <w:r w:rsidRPr="004613F9">
        <w:rPr>
          <w:b/>
          <w:bCs/>
          <w:i/>
          <w:iCs/>
          <w:lang w:val="en-GB"/>
        </w:rPr>
        <w:t xml:space="preserve">Proposal </w:t>
      </w:r>
      <w:r>
        <w:rPr>
          <w:b/>
          <w:bCs/>
          <w:i/>
          <w:iCs/>
          <w:lang w:val="en-GB"/>
        </w:rPr>
        <w:t>1</w:t>
      </w:r>
      <w:r w:rsidRPr="004613F9">
        <w:rPr>
          <w:b/>
          <w:bCs/>
          <w:i/>
          <w:iCs/>
          <w:lang w:val="en-GB"/>
        </w:rPr>
        <w:t xml:space="preserve">: </w:t>
      </w:r>
      <w:r>
        <w:rPr>
          <w:b/>
          <w:bCs/>
          <w:i/>
          <w:iCs/>
          <w:lang w:val="en-GB"/>
        </w:rPr>
        <w:t xml:space="preserve">RAN4 to define </w:t>
      </w:r>
      <w:r w:rsidRPr="009B4FE8">
        <w:rPr>
          <w:b/>
          <w:bCs/>
          <w:i/>
          <w:iCs/>
          <w:lang w:val="en-GB"/>
        </w:rPr>
        <w:t>measurement requirements for inter-RAT (NTN to E-UTRA</w:t>
      </w:r>
      <w:r>
        <w:rPr>
          <w:b/>
          <w:bCs/>
          <w:i/>
          <w:iCs/>
          <w:lang w:val="en-GB"/>
        </w:rPr>
        <w:t>N</w:t>
      </w:r>
      <w:r w:rsidRPr="009B4FE8">
        <w:rPr>
          <w:b/>
          <w:bCs/>
          <w:i/>
          <w:iCs/>
          <w:lang w:val="en-GB"/>
        </w:rPr>
        <w:t xml:space="preserve"> TN) measurement for (e)RedCap UE</w:t>
      </w:r>
      <w:r>
        <w:rPr>
          <w:b/>
          <w:bCs/>
          <w:i/>
          <w:iCs/>
          <w:lang w:val="en-GB"/>
        </w:rPr>
        <w:t xml:space="preserve">. The existing </w:t>
      </w:r>
      <w:r w:rsidRPr="009B4FE8">
        <w:rPr>
          <w:b/>
          <w:bCs/>
          <w:i/>
          <w:iCs/>
          <w:lang w:val="en-GB"/>
        </w:rPr>
        <w:t xml:space="preserve">requirements for </w:t>
      </w:r>
      <w:r>
        <w:rPr>
          <w:b/>
          <w:bCs/>
          <w:i/>
          <w:iCs/>
        </w:rPr>
        <w:t>m</w:t>
      </w:r>
      <w:r w:rsidRPr="009B4FE8">
        <w:rPr>
          <w:b/>
          <w:bCs/>
          <w:i/>
          <w:iCs/>
        </w:rPr>
        <w:t>easurements of inter-RAT E-UTRAN cells</w:t>
      </w:r>
      <w:r w:rsidRPr="009B4FE8">
        <w:rPr>
          <w:rFonts w:hint="eastAsia"/>
          <w:b/>
          <w:bCs/>
          <w:i/>
          <w:iCs/>
        </w:rPr>
        <w:t xml:space="preserve"> with TN carrier</w:t>
      </w:r>
      <w:r>
        <w:rPr>
          <w:b/>
          <w:bCs/>
          <w:i/>
          <w:iCs/>
        </w:rPr>
        <w:t xml:space="preserve"> can be used as baseline.</w:t>
      </w:r>
    </w:p>
    <w:p w14:paraId="1833F80A" w14:textId="747FE282" w:rsidR="00192FD9" w:rsidRDefault="00192FD9" w:rsidP="00192FD9">
      <w:pPr>
        <w:jc w:val="both"/>
        <w:rPr>
          <w:b/>
          <w:bCs/>
          <w:i/>
          <w:iCs/>
        </w:rPr>
      </w:pPr>
      <w:r>
        <w:rPr>
          <w:b/>
          <w:bCs/>
          <w:i/>
          <w:iCs/>
          <w:lang w:val="en-GB"/>
        </w:rPr>
        <w:t xml:space="preserve">Proposal 2: </w:t>
      </w:r>
      <w:r w:rsidRPr="00DD5C9C">
        <w:rPr>
          <w:b/>
          <w:bCs/>
          <w:i/>
          <w:iCs/>
          <w:lang w:val="en-GB"/>
        </w:rPr>
        <w:t xml:space="preserve">UE is not required to meet the RRM requirement with </w:t>
      </w:r>
      <w:proofErr w:type="spellStart"/>
      <w:r w:rsidRPr="00DD5C9C">
        <w:rPr>
          <w:b/>
          <w:bCs/>
          <w:i/>
          <w:iCs/>
          <w:lang w:val="en-GB"/>
        </w:rPr>
        <w:t>eDRX</w:t>
      </w:r>
      <w:proofErr w:type="spellEnd"/>
      <w:r w:rsidRPr="00DD5C9C">
        <w:rPr>
          <w:b/>
          <w:bCs/>
          <w:i/>
          <w:iCs/>
          <w:lang w:val="en-GB"/>
        </w:rPr>
        <w:t xml:space="preserve"> for earth moving LEO deployment.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044A778D" w:rsidR="006D098E" w:rsidRDefault="00DB5D18" w:rsidP="0051713E">
      <w:r>
        <w:t xml:space="preserve">[1] </w:t>
      </w:r>
      <w:r w:rsidR="00E13C55" w:rsidRPr="00E13C55">
        <w:rPr>
          <w:rFonts w:cs="Arial"/>
        </w:rPr>
        <w:t>R4-2416865</w:t>
      </w:r>
      <w:r w:rsidR="00E13C55">
        <w:rPr>
          <w:rFonts w:cs="Arial"/>
        </w:rPr>
        <w:t xml:space="preserve">, </w:t>
      </w:r>
      <w:r w:rsidR="00E13C55" w:rsidRPr="00E13C55">
        <w:rPr>
          <w:rFonts w:cs="Arial"/>
        </w:rPr>
        <w:t>WF on RRM requirements for NR_NTN_Ph3_Part1</w:t>
      </w:r>
      <w:r w:rsidR="00CB4CB5" w:rsidRPr="00CB4CB5">
        <w:t>, CATT</w:t>
      </w:r>
      <w:r w:rsidRPr="003302A0">
        <w:t>, RAN</w:t>
      </w:r>
      <w:r w:rsidR="00CD3CF7">
        <w:t>4</w:t>
      </w:r>
      <w:r w:rsidR="00FB4882">
        <w:t>#1</w:t>
      </w:r>
      <w:r w:rsidR="00CD3CF7">
        <w:t>12</w:t>
      </w:r>
      <w:r w:rsidR="00E13C55">
        <w:t>bis</w:t>
      </w:r>
    </w:p>
    <w:p w14:paraId="44E6AB8A" w14:textId="7A055A9D" w:rsidR="00CD3CF7" w:rsidRDefault="00CD3CF7" w:rsidP="00CD3CF7">
      <w:r>
        <w:t xml:space="preserve">[2] </w:t>
      </w:r>
      <w:r w:rsidR="00E13C55" w:rsidRPr="00E13C55">
        <w:rPr>
          <w:rFonts w:cs="Arial"/>
        </w:rPr>
        <w:t>R4-2415668</w:t>
      </w:r>
      <w:r w:rsidR="00E13C55">
        <w:rPr>
          <w:rFonts w:cs="Arial"/>
        </w:rPr>
        <w:t xml:space="preserve">, </w:t>
      </w:r>
      <w:r w:rsidR="00E13C55" w:rsidRPr="00E13C55">
        <w:rPr>
          <w:rFonts w:cs="Arial"/>
        </w:rPr>
        <w:t>Topic summary for [112bis][221] NR_NTN_Ph3_Part</w:t>
      </w:r>
      <w:r w:rsidRPr="00CB4CB5">
        <w:t>, CATT</w:t>
      </w:r>
      <w:r w:rsidRPr="003302A0">
        <w:t>, RAN</w:t>
      </w:r>
      <w:r>
        <w:t>4#112</w:t>
      </w:r>
      <w:r w:rsidR="00E13C55">
        <w:t>bis</w:t>
      </w:r>
    </w:p>
    <w:p w14:paraId="3B9813FF" w14:textId="5C64CC56" w:rsidR="00A23D5B" w:rsidRDefault="00A23D5B" w:rsidP="0051713E"/>
    <w:sectPr w:rsidR="00A23D5B"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1139B" w14:textId="77777777" w:rsidR="001116DE" w:rsidRDefault="001116DE">
      <w:r>
        <w:separator/>
      </w:r>
    </w:p>
  </w:endnote>
  <w:endnote w:type="continuationSeparator" w:id="0">
    <w:p w14:paraId="56169FBD" w14:textId="77777777" w:rsidR="001116DE" w:rsidRDefault="001116DE">
      <w:r>
        <w:continuationSeparator/>
      </w:r>
    </w:p>
  </w:endnote>
  <w:endnote w:type="continuationNotice" w:id="1">
    <w:p w14:paraId="05212C61" w14:textId="77777777" w:rsidR="001116DE" w:rsidRDefault="00111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A55B2" w14:textId="77777777" w:rsidR="001116DE" w:rsidRDefault="001116DE">
      <w:r>
        <w:separator/>
      </w:r>
    </w:p>
  </w:footnote>
  <w:footnote w:type="continuationSeparator" w:id="0">
    <w:p w14:paraId="10DFF948" w14:textId="77777777" w:rsidR="001116DE" w:rsidRDefault="001116DE">
      <w:r>
        <w:continuationSeparator/>
      </w:r>
    </w:p>
  </w:footnote>
  <w:footnote w:type="continuationNotice" w:id="1">
    <w:p w14:paraId="52695153" w14:textId="77777777" w:rsidR="001116DE" w:rsidRDefault="00111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4"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5"/>
  </w:num>
  <w:num w:numId="5" w16cid:durableId="19949176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1"/>
  </w:num>
  <w:num w:numId="8" w16cid:durableId="66853061">
    <w:abstractNumId w:val="8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6"/>
  </w:num>
  <w:num w:numId="12" w16cid:durableId="1683971953">
    <w:abstractNumId w:val="55"/>
  </w:num>
  <w:num w:numId="13" w16cid:durableId="1802336773">
    <w:abstractNumId w:val="77"/>
  </w:num>
  <w:num w:numId="14" w16cid:durableId="183179212">
    <w:abstractNumId w:val="14"/>
  </w:num>
  <w:num w:numId="15" w16cid:durableId="101072845">
    <w:abstractNumId w:val="4"/>
  </w:num>
  <w:num w:numId="16" w16cid:durableId="1671985423">
    <w:abstractNumId w:val="86"/>
  </w:num>
  <w:num w:numId="17" w16cid:durableId="527718403">
    <w:abstractNumId w:val="13"/>
  </w:num>
  <w:num w:numId="18" w16cid:durableId="336426665">
    <w:abstractNumId w:val="66"/>
  </w:num>
  <w:num w:numId="19" w16cid:durableId="314071016">
    <w:abstractNumId w:val="8"/>
  </w:num>
  <w:num w:numId="20" w16cid:durableId="254241833">
    <w:abstractNumId w:val="20"/>
  </w:num>
  <w:num w:numId="21" w16cid:durableId="2056931042">
    <w:abstractNumId w:val="54"/>
  </w:num>
  <w:num w:numId="22" w16cid:durableId="277881800">
    <w:abstractNumId w:val="59"/>
  </w:num>
  <w:num w:numId="23" w16cid:durableId="2121104171">
    <w:abstractNumId w:val="37"/>
  </w:num>
  <w:num w:numId="24" w16cid:durableId="1956054883">
    <w:abstractNumId w:val="25"/>
  </w:num>
  <w:num w:numId="25" w16cid:durableId="1143275559">
    <w:abstractNumId w:val="41"/>
  </w:num>
  <w:num w:numId="26" w16cid:durableId="337998213">
    <w:abstractNumId w:val="42"/>
  </w:num>
  <w:num w:numId="27" w16cid:durableId="753867088">
    <w:abstractNumId w:val="32"/>
  </w:num>
  <w:num w:numId="28" w16cid:durableId="1388605013">
    <w:abstractNumId w:val="29"/>
  </w:num>
  <w:num w:numId="29" w16cid:durableId="1194684424">
    <w:abstractNumId w:val="43"/>
  </w:num>
  <w:num w:numId="30" w16cid:durableId="195780968">
    <w:abstractNumId w:val="67"/>
  </w:num>
  <w:num w:numId="31" w16cid:durableId="43145658">
    <w:abstractNumId w:val="56"/>
  </w:num>
  <w:num w:numId="32" w16cid:durableId="840119956">
    <w:abstractNumId w:val="83"/>
  </w:num>
  <w:num w:numId="33" w16cid:durableId="788086887">
    <w:abstractNumId w:val="74"/>
  </w:num>
  <w:num w:numId="34" w16cid:durableId="1075589885">
    <w:abstractNumId w:val="36"/>
  </w:num>
  <w:num w:numId="35" w16cid:durableId="1071587299">
    <w:abstractNumId w:val="78"/>
  </w:num>
  <w:num w:numId="36" w16cid:durableId="1091851232">
    <w:abstractNumId w:val="70"/>
  </w:num>
  <w:num w:numId="37" w16cid:durableId="973365770">
    <w:abstractNumId w:val="65"/>
  </w:num>
  <w:num w:numId="38" w16cid:durableId="1834683719">
    <w:abstractNumId w:val="7"/>
  </w:num>
  <w:num w:numId="39" w16cid:durableId="1536116022">
    <w:abstractNumId w:val="72"/>
  </w:num>
  <w:num w:numId="40" w16cid:durableId="1520314102">
    <w:abstractNumId w:val="75"/>
  </w:num>
  <w:num w:numId="41" w16cid:durableId="247882645">
    <w:abstractNumId w:val="5"/>
  </w:num>
  <w:num w:numId="42" w16cid:durableId="1465733113">
    <w:abstractNumId w:val="35"/>
  </w:num>
  <w:num w:numId="43" w16cid:durableId="1899396757">
    <w:abstractNumId w:val="6"/>
  </w:num>
  <w:num w:numId="44" w16cid:durableId="1532566973">
    <w:abstractNumId w:val="1"/>
  </w:num>
  <w:num w:numId="45" w16cid:durableId="1368028164">
    <w:abstractNumId w:val="16"/>
  </w:num>
  <w:num w:numId="46" w16cid:durableId="1589078694">
    <w:abstractNumId w:val="31"/>
  </w:num>
  <w:num w:numId="47" w16cid:durableId="925915457">
    <w:abstractNumId w:val="10"/>
  </w:num>
  <w:num w:numId="48" w16cid:durableId="12804858">
    <w:abstractNumId w:val="24"/>
  </w:num>
  <w:num w:numId="49" w16cid:durableId="1651904155">
    <w:abstractNumId w:val="63"/>
  </w:num>
  <w:num w:numId="50" w16cid:durableId="1799837277">
    <w:abstractNumId w:val="69"/>
  </w:num>
  <w:num w:numId="51" w16cid:durableId="1335303262">
    <w:abstractNumId w:val="50"/>
  </w:num>
  <w:num w:numId="52" w16cid:durableId="2017027243">
    <w:abstractNumId w:val="30"/>
  </w:num>
  <w:num w:numId="53" w16cid:durableId="972100627">
    <w:abstractNumId w:val="52"/>
  </w:num>
  <w:num w:numId="54" w16cid:durableId="581522437">
    <w:abstractNumId w:val="84"/>
  </w:num>
  <w:num w:numId="55" w16cid:durableId="561520335">
    <w:abstractNumId w:val="61"/>
  </w:num>
  <w:num w:numId="56" w16cid:durableId="252054725">
    <w:abstractNumId w:val="38"/>
  </w:num>
  <w:num w:numId="57" w16cid:durableId="1293051579">
    <w:abstractNumId w:val="68"/>
  </w:num>
  <w:num w:numId="58" w16cid:durableId="1169441097">
    <w:abstractNumId w:val="64"/>
  </w:num>
  <w:num w:numId="59" w16cid:durableId="313799950">
    <w:abstractNumId w:val="18"/>
  </w:num>
  <w:num w:numId="60" w16cid:durableId="1577743831">
    <w:abstractNumId w:val="21"/>
  </w:num>
  <w:num w:numId="61" w16cid:durableId="809325268">
    <w:abstractNumId w:val="53"/>
  </w:num>
  <w:num w:numId="62" w16cid:durableId="1225213486">
    <w:abstractNumId w:val="19"/>
  </w:num>
  <w:num w:numId="63" w16cid:durableId="697196576">
    <w:abstractNumId w:val="23"/>
  </w:num>
  <w:num w:numId="64" w16cid:durableId="546991584">
    <w:abstractNumId w:val="0"/>
  </w:num>
  <w:num w:numId="65" w16cid:durableId="1117867917">
    <w:abstractNumId w:val="3"/>
  </w:num>
  <w:num w:numId="66" w16cid:durableId="1443307472">
    <w:abstractNumId w:val="27"/>
  </w:num>
  <w:num w:numId="67" w16cid:durableId="152263208">
    <w:abstractNumId w:val="81"/>
  </w:num>
  <w:num w:numId="68" w16cid:durableId="638533785">
    <w:abstractNumId w:val="33"/>
  </w:num>
  <w:num w:numId="69" w16cid:durableId="1886863922">
    <w:abstractNumId w:val="44"/>
  </w:num>
  <w:num w:numId="70" w16cid:durableId="1612977760">
    <w:abstractNumId w:val="39"/>
  </w:num>
  <w:num w:numId="71" w16cid:durableId="1456874366">
    <w:abstractNumId w:val="34"/>
  </w:num>
  <w:num w:numId="72" w16cid:durableId="1577082966">
    <w:abstractNumId w:val="17"/>
  </w:num>
  <w:num w:numId="73" w16cid:durableId="873807557">
    <w:abstractNumId w:val="47"/>
  </w:num>
  <w:num w:numId="74" w16cid:durableId="118957055">
    <w:abstractNumId w:val="71"/>
  </w:num>
  <w:num w:numId="75" w16cid:durableId="2008944983">
    <w:abstractNumId w:val="58"/>
  </w:num>
  <w:num w:numId="76" w16cid:durableId="559049746">
    <w:abstractNumId w:val="57"/>
  </w:num>
  <w:num w:numId="77" w16cid:durableId="1511330375">
    <w:abstractNumId w:val="40"/>
  </w:num>
  <w:num w:numId="78" w16cid:durableId="1610773526">
    <w:abstractNumId w:val="48"/>
  </w:num>
  <w:num w:numId="79" w16cid:durableId="228275363">
    <w:abstractNumId w:val="62"/>
  </w:num>
  <w:num w:numId="80" w16cid:durableId="1257902246">
    <w:abstractNumId w:val="15"/>
  </w:num>
  <w:num w:numId="81" w16cid:durableId="341979843">
    <w:abstractNumId w:val="45"/>
  </w:num>
  <w:num w:numId="82" w16cid:durableId="1714499501">
    <w:abstractNumId w:val="22"/>
  </w:num>
  <w:num w:numId="83" w16cid:durableId="1959069378">
    <w:abstractNumId w:val="46"/>
  </w:num>
  <w:num w:numId="84" w16cid:durableId="1094979134">
    <w:abstractNumId w:val="82"/>
  </w:num>
  <w:num w:numId="85" w16cid:durableId="1395541">
    <w:abstractNumId w:val="28"/>
  </w:num>
  <w:num w:numId="86" w16cid:durableId="340860459">
    <w:abstractNumId w:val="87"/>
  </w:num>
  <w:num w:numId="87" w16cid:durableId="187839416">
    <w:abstractNumId w:val="12"/>
  </w:num>
  <w:num w:numId="88" w16cid:durableId="2068455209">
    <w:abstractNumId w:val="79"/>
  </w:num>
  <w:num w:numId="89" w16cid:durableId="711808226">
    <w:abstractNumId w:val="49"/>
  </w:num>
  <w:num w:numId="90" w16cid:durableId="183598065">
    <w:abstractNumId w:val="26"/>
  </w:num>
  <w:num w:numId="91" w16cid:durableId="19667098">
    <w:abstractNumId w:val="60"/>
  </w:num>
  <w:num w:numId="92" w16cid:durableId="57824824">
    <w:abstractNumId w:val="8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24B"/>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4FE8"/>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3C5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FE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TotalTime>
  <Pages>3</Pages>
  <Words>694</Words>
  <Characters>3961</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15</cp:revision>
  <cp:lastPrinted>2016-08-05T18:54:00Z</cp:lastPrinted>
  <dcterms:created xsi:type="dcterms:W3CDTF">2024-10-04T05:52:00Z</dcterms:created>
  <dcterms:modified xsi:type="dcterms:W3CDTF">2024-11-08T17:06:00Z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